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BD89E">
      <w:pP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8</w:t>
      </w:r>
    </w:p>
    <w:p w14:paraId="7B129F95">
      <w:pPr>
        <w:pStyle w:val="2"/>
        <w:rPr>
          <w:rFonts w:hint="default" w:ascii="Times New Roman" w:hAnsi="Times New Roman" w:cs="Times New Roman"/>
          <w:color w:val="auto"/>
        </w:rPr>
      </w:pPr>
    </w:p>
    <w:p w14:paraId="5FC682F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XX</w:t>
      </w:r>
      <w:r>
        <w:rPr>
          <w:rFonts w:ascii="Times New Roman" w:hAnsi="Times New Roman" w:eastAsia="方正小标宋简体"/>
          <w:sz w:val="44"/>
          <w:szCs w:val="44"/>
        </w:rPr>
        <w:t>省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自治区、直辖市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）盐碱</w:t>
      </w:r>
      <w:r>
        <w:rPr>
          <w:rFonts w:ascii="Times New Roman" w:hAnsi="Times New Roman" w:eastAsia="方正小标宋简体"/>
          <w:sz w:val="44"/>
          <w:szCs w:val="44"/>
        </w:rPr>
        <w:t>化区</w:t>
      </w:r>
    </w:p>
    <w:p w14:paraId="7762EB56">
      <w:pPr>
        <w:pStyle w:val="2"/>
        <w:ind w:left="0" w:leftChars="0"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耕地质量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专项</w:t>
      </w:r>
      <w:r>
        <w:rPr>
          <w:rFonts w:ascii="Times New Roman" w:hAnsi="Times New Roman" w:eastAsia="方正小标宋简体"/>
          <w:sz w:val="44"/>
          <w:szCs w:val="44"/>
        </w:rPr>
        <w:t>监测报告编写提纲</w:t>
      </w:r>
    </w:p>
    <w:p w14:paraId="37176EFE">
      <w:pPr>
        <w:pStyle w:val="2"/>
        <w:ind w:left="0" w:leftChars="0" w:firstLine="0" w:firstLineChars="0"/>
        <w:jc w:val="center"/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（参考提纲）</w:t>
      </w:r>
    </w:p>
    <w:p w14:paraId="18355019">
      <w:pPr>
        <w:spacing w:line="360" w:lineRule="auto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74AE6005">
      <w:pPr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幅段：简单介绍本地区开展盐碱耕地监测工作基本情况，包括背景、目的、内容、成效和综合技术改良措施等。</w:t>
      </w:r>
    </w:p>
    <w:p w14:paraId="01A32BCF">
      <w:pPr>
        <w:numPr>
          <w:ilvl w:val="0"/>
          <w:numId w:val="1"/>
        </w:numPr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盐碱耕地监测点分布现状</w:t>
      </w:r>
    </w:p>
    <w:p w14:paraId="33C6CE5C"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统计分析现有盐碱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耕地上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国家、省、市、县四级耕地质量监测点分布区域、数量以及监测点建设等情况。</w:t>
      </w:r>
    </w:p>
    <w:p w14:paraId="68AD5064">
      <w:pPr>
        <w:snapToGrid w:val="0"/>
        <w:spacing w:line="58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二、监测点运行情况</w:t>
      </w:r>
    </w:p>
    <w:p w14:paraId="1C6895A3">
      <w:pPr>
        <w:pStyle w:val="6"/>
        <w:ind w:firstLine="0" w:firstLineChars="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（一）监测点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年度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开展监测情况，包括土壤物理性状、化学性状</w:t>
      </w:r>
      <w:r>
        <w:rPr>
          <w:rFonts w:hint="eastAsia" w:asci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、主要盐分指标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以及投入及产出情况等指标监测数据与统计分析报告。</w:t>
      </w:r>
    </w:p>
    <w:p w14:paraId="7B2C9132">
      <w:pPr>
        <w:pStyle w:val="2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（二）盐碱耕地改良采取主要技术措施与成效。</w:t>
      </w:r>
    </w:p>
    <w:p w14:paraId="734AABC6">
      <w:pPr>
        <w:pStyle w:val="2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三、问题与建议</w:t>
      </w:r>
    </w:p>
    <w:p w14:paraId="0C5A8318">
      <w:pPr>
        <w:pStyle w:val="2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（一）盐碱耕地监测工作存在的主要问题，如监测点布局、人员、技术、机制与经费保障等方面。</w:t>
      </w:r>
    </w:p>
    <w:p w14:paraId="323AEC63">
      <w:pPr>
        <w:pStyle w:val="2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（二）推进盐碱耕地监测工作的意见建议。</w:t>
      </w:r>
    </w:p>
    <w:p w14:paraId="7578803F">
      <w:pPr>
        <w:ind w:firstLine="420" w:firstLineChars="20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2E082"/>
    <w:multiLevelType w:val="singleLevel"/>
    <w:tmpl w:val="1122E08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E1609"/>
    <w:rsid w:val="0EC6754C"/>
    <w:rsid w:val="1F6B6F1B"/>
    <w:rsid w:val="2E1F28B7"/>
    <w:rsid w:val="69FE1609"/>
    <w:rsid w:val="7CA4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eastAsia="仿宋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customStyle="1" w:styleId="6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2025-09-11T14:15:00Z</dcterms:created>
  <dc:creator>Yang</dc:creator>
  <cp:lastModifiedBy>Yang</cp:lastModifiedBy>
  <dcterms:modified xsi:type="dcterms:W3CDTF">2025-09-11T14:22:01Z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DB56EED46229479C8C27970075FD0089_13</vt:lpwstr>
  </property>
  <property fmtid="{D5CDD505-2E9C-101B-9397-08002B2CF9AE}" pid="4" name="KSOTemplateDocerSaveRecord">
    <vt:lpwstr>eyJoZGlkIjoiYTc2YmI5ZjgxZWNkNDBkN2I0MjhhNGU3NzFmNjUwZTQiLCJ1c2VySWQiOiIzMDE3MDQ0NzcifQ==</vt:lpwstr>
  </property>
</Properties>
</file>